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b/>
          <w:color w:val="0F766E"/>
          <w:sz w:val="20"/>
        </w:rPr>
        <w:t>BÜTÜNLEŞİK SİSTEM TANITIM KİTAPÇIĞI</w:t>
      </w:r>
    </w:p>
    <w:p>
      <w:pPr>
        <w:spacing w:after="400"/>
        <w:jc w:val="center"/>
      </w:pPr>
      <w:r>
        <w:drawing>
          <wp:inline xmlns:a="http://schemas.openxmlformats.org/drawingml/2006/main" xmlns:pic="http://schemas.openxmlformats.org/drawingml/2006/picture">
            <wp:extent cx="5943600" cy="3120390"/>
            <wp:docPr id="1" name="Picture 1" title="Bütünleşik sistem görseli" descr="Diplomasi Simülasyonu başlığı ve altı bağlı modülü temsil eden kurumsal sistem görsel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g-integrated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03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b/>
          <w:color w:val="071A24"/>
          <w:sz w:val="52"/>
        </w:rPr>
        <w:t>Bir web sitesinden fazlası.</w:t>
      </w:r>
    </w:p>
    <w:p>
      <w:pPr>
        <w:spacing w:after="360"/>
        <w:jc w:val="center"/>
      </w:pPr>
      <w:r>
        <w:rPr>
          <w:color w:val="52646D"/>
          <w:sz w:val="24"/>
        </w:rPr>
        <w:t>Başvurudan eğitime, canlı müzakereden kurumsal hafızaya uzanan tek ve anlaşılır çalışma düzeni.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fill="071A24"/>
            <w:tcBorders>
              <w:top w:val="single" w:sz="0" w:space="0" w:color="071A24"/>
              <w:left w:val="single" w:sz="0" w:space="0" w:color="071A24"/>
              <w:bottom w:val="single" w:sz="0" w:space="0" w:color="071A24"/>
              <w:right w:val="single" w:sz="0" w:space="0" w:color="071A24"/>
              <w:insideH w:val="single" w:sz="0" w:space="0" w:color="071A24"/>
              <w:insideV w:val="single" w:sz="0" w:space="0" w:color="071A24"/>
            </w:tcBorders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pPr>
              <w:spacing w:after="40"/>
              <w:jc w:val="center"/>
            </w:pPr>
            <w:r>
              <w:rPr>
                <w:b/>
                <w:color w:val="16C7C1"/>
                <w:sz w:val="30"/>
              </w:rPr>
              <w:t>10+</w:t>
            </w:r>
          </w:p>
          <w:p>
            <w:pPr>
              <w:spacing w:after="0"/>
              <w:jc w:val="center"/>
            </w:pPr>
            <w:r>
              <w:rPr>
                <w:color w:val="FFFFFF"/>
                <w:sz w:val="15"/>
              </w:rPr>
              <w:t>YILLIK BİRİKİM</w:t>
            </w:r>
          </w:p>
        </w:tc>
        <w:tc>
          <w:tcPr>
            <w:tcW w:type="dxa" w:w="2340"/>
            <w:shd w:fill="071A24"/>
            <w:tcBorders>
              <w:top w:val="single" w:sz="0" w:space="0" w:color="071A24"/>
              <w:left w:val="single" w:sz="0" w:space="0" w:color="071A24"/>
              <w:bottom w:val="single" w:sz="0" w:space="0" w:color="071A24"/>
              <w:right w:val="single" w:sz="0" w:space="0" w:color="071A24"/>
              <w:insideH w:val="single" w:sz="0" w:space="0" w:color="071A24"/>
              <w:insideV w:val="single" w:sz="0" w:space="0" w:color="071A24"/>
            </w:tcBorders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pPr>
              <w:spacing w:after="40"/>
              <w:jc w:val="center"/>
            </w:pPr>
            <w:r>
              <w:rPr>
                <w:b/>
                <w:color w:val="16C7C1"/>
                <w:sz w:val="30"/>
              </w:rPr>
              <w:t>30+</w:t>
            </w:r>
          </w:p>
          <w:p>
            <w:pPr>
              <w:spacing w:after="0"/>
              <w:jc w:val="center"/>
            </w:pPr>
            <w:r>
              <w:rPr>
                <w:color w:val="FFFFFF"/>
                <w:sz w:val="15"/>
              </w:rPr>
              <w:t>ŞEHİR</w:t>
            </w:r>
          </w:p>
        </w:tc>
        <w:tc>
          <w:tcPr>
            <w:tcW w:type="dxa" w:w="2340"/>
            <w:shd w:fill="071A24"/>
            <w:tcBorders>
              <w:top w:val="single" w:sz="0" w:space="0" w:color="071A24"/>
              <w:left w:val="single" w:sz="0" w:space="0" w:color="071A24"/>
              <w:bottom w:val="single" w:sz="0" w:space="0" w:color="071A24"/>
              <w:right w:val="single" w:sz="0" w:space="0" w:color="071A24"/>
              <w:insideH w:val="single" w:sz="0" w:space="0" w:color="071A24"/>
              <w:insideV w:val="single" w:sz="0" w:space="0" w:color="071A24"/>
            </w:tcBorders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pPr>
              <w:spacing w:after="40"/>
              <w:jc w:val="center"/>
            </w:pPr>
            <w:r>
              <w:rPr>
                <w:b/>
                <w:color w:val="16C7C1"/>
                <w:sz w:val="30"/>
              </w:rPr>
              <w:t>3</w:t>
            </w:r>
          </w:p>
          <w:p>
            <w:pPr>
              <w:spacing w:after="0"/>
              <w:jc w:val="center"/>
            </w:pPr>
            <w:r>
              <w:rPr>
                <w:color w:val="FFFFFF"/>
                <w:sz w:val="15"/>
              </w:rPr>
              <w:t>HABER AĞI</w:t>
            </w:r>
          </w:p>
        </w:tc>
        <w:tc>
          <w:tcPr>
            <w:tcW w:type="dxa" w:w="2340"/>
            <w:shd w:fill="071A24"/>
            <w:tcBorders>
              <w:top w:val="single" w:sz="0" w:space="0" w:color="071A24"/>
              <w:left w:val="single" w:sz="0" w:space="0" w:color="071A24"/>
              <w:bottom w:val="single" w:sz="0" w:space="0" w:color="071A24"/>
              <w:right w:val="single" w:sz="0" w:space="0" w:color="071A24"/>
              <w:insideH w:val="single" w:sz="0" w:space="0" w:color="071A24"/>
              <w:insideV w:val="single" w:sz="0" w:space="0" w:color="071A24"/>
            </w:tcBorders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pPr>
              <w:spacing w:after="40"/>
              <w:jc w:val="center"/>
            </w:pPr>
            <w:r>
              <w:rPr>
                <w:b/>
                <w:color w:val="16C7C1"/>
                <w:sz w:val="30"/>
              </w:rPr>
              <w:t>1</w:t>
            </w:r>
          </w:p>
          <w:p>
            <w:pPr>
              <w:spacing w:after="0"/>
              <w:jc w:val="center"/>
            </w:pPr>
            <w:r>
              <w:rPr>
                <w:color w:val="FFFFFF"/>
                <w:sz w:val="15"/>
              </w:rPr>
              <w:t>BÜTÜNLEŞİK SİSTEM</w:t>
            </w:r>
          </w:p>
        </w:tc>
      </w:tr>
    </w:tbl>
    <w:p>
      <w:pPr>
        <w:spacing w:after="0"/>
      </w:pPr>
      <w:r>
        <w:br w:type="page"/>
      </w:r>
    </w:p>
    <w:p>
      <w:pPr>
        <w:spacing w:after="80"/>
      </w:pPr>
      <w:r>
        <w:rPr>
          <w:rFonts w:ascii="Calibri" w:hAnsi="Calibri"/>
          <w:b/>
          <w:color w:val="0F766E"/>
          <w:sz w:val="17"/>
        </w:rPr>
        <w:t>30 SANIYEDE SISTEM</w:t>
      </w:r>
    </w:p>
    <w:p>
      <w:pPr>
        <w:pStyle w:val="Heading1"/>
        <w:keepNext/>
      </w:pPr>
      <w:r>
        <w:t>Diplomasi Simülasyonu nedir?</w:t>
      </w:r>
    </w:p>
    <w:p>
      <w:pPr>
        <w:pStyle w:val="Subtitle"/>
        <w:spacing w:after="280"/>
      </w:pPr>
      <w:r>
        <w:t>Teoriyi role, rolü karara, kararı kurumsal hafızaya dönüştüren dijital ve fizikî deneyim.</w:t>
      </w:r>
    </w:p>
    <w:p>
      <w:pPr>
        <w:spacing w:after="240" w:line="288" w:lineRule="auto"/>
      </w:pPr>
      <w:r>
        <w:rPr>
          <w:color w:val="52646D"/>
          <w:sz w:val="23"/>
        </w:rPr>
        <w:t>Platform, yalnızca kurumsal bilgileri sergileyen bir site değildir. Ziyaretçinin projeyi tanıdığı ilk andan, katılımcının canlı simülasyondaki kararlarına ve yönetimin dönem sonu raporlarına kadar bütün süreci birbirine bağlar.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071A24"/>
            <w:tcBorders>
              <w:top w:val="single" w:sz="0" w:space="0" w:color="071A24"/>
              <w:left w:val="single" w:sz="0" w:space="0" w:color="071A24"/>
              <w:bottom w:val="single" w:sz="0" w:space="0" w:color="071A24"/>
              <w:right w:val="single" w:sz="0" w:space="0" w:color="071A24"/>
              <w:insideH w:val="single" w:sz="0" w:space="0" w:color="071A24"/>
              <w:insideV w:val="single" w:sz="0" w:space="0" w:color="071A24"/>
            </w:tcBorders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</w:pPr>
            <w:r>
              <w:rPr>
                <w:b/>
                <w:color w:val="16C7C1"/>
                <w:sz w:val="22"/>
              </w:rPr>
              <w:t>Sistemin kısa formülü</w:t>
            </w:r>
          </w:p>
          <w:p>
            <w:pPr>
              <w:spacing w:after="0" w:line="276" w:lineRule="auto"/>
            </w:pPr>
            <w:r>
              <w:rPr>
                <w:color w:val="FFFFFF"/>
                <w:sz w:val="20"/>
              </w:rPr>
              <w:t>Keşfet → Başvur → Kabul al → Rolünü öğren → Hazırlan → Müzakere et → Çıktı üret → Hafızaya aktar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Dört temel ilke</w:t>
      </w:r>
    </w:p>
    <w:p>
      <w:pPr>
        <w:pStyle w:val="ListBullet"/>
        <w:spacing w:after="80" w:line="300" w:lineRule="auto"/>
        <w:ind w:left="540" w:hanging="271"/>
      </w:pPr>
      <w:r>
        <w:rPr>
          <w:color w:val="071A24"/>
        </w:rPr>
        <w:t>Tek kimlik: Her kullanıcı yalnızca kendi rolü ve yetkisiyle ilgili çalışma alanını görür.</w:t>
      </w:r>
    </w:p>
    <w:p>
      <w:pPr>
        <w:pStyle w:val="ListBullet"/>
        <w:spacing w:after="80" w:line="300" w:lineRule="auto"/>
        <w:ind w:left="540" w:hanging="271"/>
      </w:pPr>
      <w:r>
        <w:rPr>
          <w:color w:val="071A24"/>
        </w:rPr>
        <w:t>Tek süreç: Başvuru, atama, eğitim, görev, haber ve simülasyon adımları kopmadan ilerler.</w:t>
      </w:r>
    </w:p>
    <w:p>
      <w:pPr>
        <w:pStyle w:val="ListBullet"/>
        <w:spacing w:after="80" w:line="300" w:lineRule="auto"/>
        <w:ind w:left="540" w:hanging="271"/>
      </w:pPr>
      <w:r>
        <w:rPr>
          <w:color w:val="071A24"/>
        </w:rPr>
        <w:t>Tek kayıt: Görevler, evraklar, haberler ve yapılandırmalar sürümlü ve izlenebilir biçimde saklanır.</w:t>
      </w:r>
    </w:p>
    <w:p>
      <w:pPr>
        <w:pStyle w:val="ListBullet"/>
        <w:spacing w:after="80" w:line="300" w:lineRule="auto"/>
        <w:ind w:left="540" w:hanging="271"/>
      </w:pPr>
      <w:r>
        <w:rPr>
          <w:color w:val="071A24"/>
        </w:rPr>
        <w:t>Tek hafıza: Dönem çıktıları sonraki ekiplere aktarılabilen kurumsal bilgiye dönüşür.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D8EBE5"/>
            <w:tcBorders>
              <w:top w:val="single" w:sz="0" w:space="0" w:color="D8EBE5"/>
              <w:left w:val="single" w:sz="0" w:space="0" w:color="D8EBE5"/>
              <w:bottom w:val="single" w:sz="0" w:space="0" w:color="D8EBE5"/>
              <w:right w:val="single" w:sz="0" w:space="0" w:color="D8EBE5"/>
              <w:insideH w:val="single" w:sz="0" w:space="0" w:color="D8EBE5"/>
              <w:insideV w:val="single" w:sz="0" w:space="0" w:color="D8EBE5"/>
            </w:tcBorders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</w:pPr>
            <w:r>
              <w:rPr>
                <w:b/>
                <w:color w:val="0F766E"/>
                <w:sz w:val="22"/>
              </w:rPr>
              <w:t>Neden önemli?</w:t>
            </w:r>
          </w:p>
          <w:p>
            <w:pPr>
              <w:spacing w:after="0" w:line="276" w:lineRule="auto"/>
            </w:pPr>
            <w:r>
              <w:rPr>
                <w:color w:val="071A24"/>
                <w:sz w:val="20"/>
              </w:rPr>
              <w:t>Katılımcı nerede olduğunu ve sırada ne bulunduğunu bilir; yönetim aynı bilgiyi farklı dosyalarda aramaz; proje geçmişi yeni dönemler için çalışan bir kaynağa dönüşür.</w:t>
            </w:r>
          </w:p>
        </w:tc>
      </w:tr>
    </w:tbl>
    <w:p>
      <w:pPr>
        <w:spacing w:after="0"/>
      </w:pPr>
    </w:p>
    <w:p>
      <w:pPr>
        <w:spacing w:after="0"/>
      </w:pPr>
      <w:r>
        <w:br w:type="page"/>
      </w:r>
    </w:p>
    <w:p>
      <w:pPr>
        <w:spacing w:after="80"/>
      </w:pPr>
      <w:r>
        <w:rPr>
          <w:rFonts w:ascii="Calibri" w:hAnsi="Calibri"/>
          <w:b/>
          <w:color w:val="0F766E"/>
          <w:sz w:val="17"/>
        </w:rPr>
        <w:t>UÇTAN UCA AKIŞ</w:t>
      </w:r>
    </w:p>
    <w:p>
      <w:pPr>
        <w:pStyle w:val="Heading1"/>
        <w:keepNext/>
      </w:pPr>
      <w:r>
        <w:t>Altı aşamada tek sistem</w:t>
      </w:r>
    </w:p>
    <w:p>
      <w:pPr>
        <w:pStyle w:val="Subtitle"/>
        <w:spacing w:after="280"/>
      </w:pPr>
      <w:r>
        <w:t>Her aşama bir sonrakini besler; hiçbir çıktı başıboş kalmaz.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fill="F5F2E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0F766E"/>
                <w:sz w:val="16"/>
              </w:rPr>
              <w:t>01</w:t>
            </w:r>
          </w:p>
          <w:p>
            <w:pPr>
              <w:spacing w:after="80"/>
            </w:pPr>
            <w:r>
              <w:rPr>
                <w:b/>
                <w:color w:val="071A24"/>
                <w:sz w:val="21"/>
              </w:rPr>
              <w:t>Keşif ve kurumsal hafıza</w:t>
            </w:r>
          </w:p>
          <w:p>
            <w:pPr>
              <w:spacing w:after="0"/>
            </w:pPr>
            <w:r>
              <w:rPr>
                <w:color w:val="52646D"/>
                <w:sz w:val="17"/>
              </w:rPr>
              <w:t>Tarihçe, medya, katkı sahipleri ve belge arşivi projeyi görünür kılar.</w:t>
            </w:r>
          </w:p>
        </w:tc>
        <w:tc>
          <w:tcPr>
            <w:tcW w:type="dxa" w:w="4680"/>
            <w:shd w:fill="D8EBE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0F766E"/>
                <w:sz w:val="16"/>
              </w:rPr>
              <w:t>02</w:t>
            </w:r>
          </w:p>
          <w:p>
            <w:pPr>
              <w:spacing w:after="80"/>
            </w:pPr>
            <w:r>
              <w:rPr>
                <w:b/>
                <w:color w:val="071A24"/>
                <w:sz w:val="21"/>
              </w:rPr>
              <w:t>Başvuru ve değerlendirme</w:t>
            </w:r>
          </w:p>
          <w:p>
            <w:pPr>
              <w:spacing w:after="0"/>
            </w:pPr>
            <w:r>
              <w:rPr>
                <w:color w:val="52646D"/>
                <w:sz w:val="17"/>
              </w:rPr>
              <w:t>Aday dosyası, rol tercihleri ve değerlendirme adımları tek akışta ilerler.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fill="D8EBE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0F766E"/>
                <w:sz w:val="16"/>
              </w:rPr>
              <w:t>03</w:t>
            </w:r>
          </w:p>
          <w:p>
            <w:pPr>
              <w:spacing w:after="80"/>
            </w:pPr>
            <w:r>
              <w:rPr>
                <w:b/>
                <w:color w:val="071A24"/>
                <w:sz w:val="21"/>
              </w:rPr>
              <w:t>Kabul, rol ve eğitim</w:t>
            </w:r>
          </w:p>
          <w:p>
            <w:pPr>
              <w:spacing w:after="0"/>
            </w:pPr>
            <w:r>
              <w:rPr>
                <w:color w:val="52646D"/>
                <w:sz w:val="17"/>
              </w:rPr>
              <w:t>Katılımcı hesabı, takımı, görev tanımı ve role özel öğrenme yolu açılır.</w:t>
            </w:r>
          </w:p>
        </w:tc>
        <w:tc>
          <w:tcPr>
            <w:tcW w:type="dxa" w:w="4680"/>
            <w:shd w:fill="F5F2E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0F766E"/>
                <w:sz w:val="16"/>
              </w:rPr>
              <w:t>04</w:t>
            </w:r>
          </w:p>
          <w:p>
            <w:pPr>
              <w:spacing w:after="80"/>
            </w:pPr>
            <w:r>
              <w:rPr>
                <w:b/>
                <w:color w:val="071A24"/>
                <w:sz w:val="21"/>
              </w:rPr>
              <w:t>Planlama ve koordinasyon</w:t>
            </w:r>
          </w:p>
          <w:p>
            <w:pPr>
              <w:spacing w:after="0"/>
            </w:pPr>
            <w:r>
              <w:rPr>
                <w:color w:val="52646D"/>
                <w:sz w:val="17"/>
              </w:rPr>
              <w:t>Görevler, evraklar, program, görüşmeler ve onaylar birlikte yönetilir.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fill="F5F2E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0F766E"/>
                <w:sz w:val="16"/>
              </w:rPr>
              <w:t>05</w:t>
            </w:r>
          </w:p>
          <w:p>
            <w:pPr>
              <w:spacing w:after="80"/>
            </w:pPr>
            <w:r>
              <w:rPr>
                <w:b/>
                <w:color w:val="071A24"/>
                <w:sz w:val="21"/>
              </w:rPr>
              <w:t>Canlı simülasyon</w:t>
            </w:r>
          </w:p>
          <w:p>
            <w:pPr>
              <w:spacing w:after="0"/>
            </w:pPr>
            <w:r>
              <w:rPr>
                <w:color w:val="52646D"/>
                <w:sz w:val="17"/>
              </w:rPr>
              <w:t>Heyetler, medya ve yönetim haber, karar, görüşme ve anlaşma üretir.</w:t>
            </w:r>
          </w:p>
        </w:tc>
        <w:tc>
          <w:tcPr>
            <w:tcW w:type="dxa" w:w="4680"/>
            <w:shd w:fill="D8EBE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0F766E"/>
                <w:sz w:val="16"/>
              </w:rPr>
              <w:t>06</w:t>
            </w:r>
          </w:p>
          <w:p>
            <w:pPr>
              <w:spacing w:after="80"/>
            </w:pPr>
            <w:r>
              <w:rPr>
                <w:b/>
                <w:color w:val="071A24"/>
                <w:sz w:val="21"/>
              </w:rPr>
              <w:t>Değerlendirme ve hafıza</w:t>
            </w:r>
          </w:p>
          <w:p>
            <w:pPr>
              <w:spacing w:after="0"/>
            </w:pPr>
            <w:r>
              <w:rPr>
                <w:color w:val="52646D"/>
                <w:sz w:val="17"/>
              </w:rPr>
              <w:t>Rapor, politika çıktısı, mevzuat ve seçilmiş medya yeni döneme aktarılır.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071A24"/>
            <w:tcBorders>
              <w:top w:val="single" w:sz="0" w:space="0" w:color="071A24"/>
              <w:left w:val="single" w:sz="0" w:space="0" w:color="071A24"/>
              <w:bottom w:val="single" w:sz="0" w:space="0" w:color="071A24"/>
              <w:right w:val="single" w:sz="0" w:space="0" w:color="071A24"/>
              <w:insideH w:val="single" w:sz="0" w:space="0" w:color="071A24"/>
              <w:insideV w:val="single" w:sz="0" w:space="0" w:color="071A24"/>
            </w:tcBorders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</w:pPr>
            <w:r>
              <w:rPr>
                <w:b/>
                <w:color w:val="16C7C1"/>
                <w:sz w:val="22"/>
              </w:rPr>
              <w:t>Bağlantının gücü</w:t>
            </w:r>
          </w:p>
          <w:p>
            <w:pPr>
              <w:spacing w:after="0" w:line="276" w:lineRule="auto"/>
            </w:pPr>
            <w:r>
              <w:rPr>
                <w:color w:val="FFFFFF"/>
                <w:sz w:val="20"/>
              </w:rPr>
              <w:t>Bir rol ataması yalnızca panelde görünmez; aynı anda eğitim yolunu, simülasyon araçlarını, haber bildirimlerini ve yetki sınırlarını da belirler.</w:t>
            </w:r>
          </w:p>
        </w:tc>
      </w:tr>
    </w:tbl>
    <w:p>
      <w:pPr>
        <w:spacing w:after="0"/>
      </w:pPr>
    </w:p>
    <w:p>
      <w:pPr>
        <w:spacing w:after="0"/>
      </w:pPr>
      <w:r>
        <w:br w:type="page"/>
      </w:r>
    </w:p>
    <w:p>
      <w:pPr>
        <w:spacing w:after="80"/>
      </w:pPr>
      <w:r>
        <w:rPr>
          <w:rFonts w:ascii="Calibri" w:hAnsi="Calibri"/>
          <w:b/>
          <w:color w:val="0F766E"/>
          <w:sz w:val="17"/>
        </w:rPr>
        <w:t>ROLÜNE GÖRE SADELEŞEN DENEYIM</w:t>
      </w:r>
    </w:p>
    <w:p>
      <w:pPr>
        <w:pStyle w:val="Heading1"/>
        <w:keepNext/>
      </w:pPr>
      <w:r>
        <w:t>Kimin ekranında ne var?</w:t>
      </w:r>
    </w:p>
    <w:p>
      <w:pPr>
        <w:pStyle w:val="Subtitle"/>
        <w:spacing w:after="280"/>
      </w:pPr>
      <w:r>
        <w:t>Aynı platform, herkese aynı kalabalık ekranı göstermez.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1728"/>
            <w:shd w:fill="E8EEF5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8"/>
              </w:rPr>
              <w:t>Profil</w:t>
            </w:r>
          </w:p>
        </w:tc>
        <w:tc>
          <w:tcPr>
            <w:tcW w:type="dxa" w:w="3528"/>
            <w:shd w:fill="E8EEF5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8"/>
              </w:rPr>
              <w:t>Gördüğü alan</w:t>
            </w:r>
          </w:p>
        </w:tc>
        <w:tc>
          <w:tcPr>
            <w:tcW w:type="dxa" w:w="4104"/>
            <w:shd w:fill="E8EEF5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8"/>
              </w:rPr>
              <w:t>Sistemdeki amacı</w:t>
            </w:r>
          </w:p>
        </w:tc>
      </w:tr>
      <w:tr>
        <w:tc>
          <w:tcPr>
            <w:tcW w:type="dxa" w:w="1728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Ziyaretçi</w:t>
            </w:r>
          </w:p>
        </w:tc>
        <w:tc>
          <w:tcPr>
            <w:tcW w:type="dxa" w:w="3528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Kurumsal içerik, tarihçe, medya, belgeler, deneyim merkezi</w:t>
            </w:r>
          </w:p>
        </w:tc>
        <w:tc>
          <w:tcPr>
            <w:tcW w:type="dxa" w:w="4104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Projeyi anlamak ve başvuruya hazırlanmak</w:t>
            </w:r>
          </w:p>
        </w:tc>
      </w:tr>
      <w:tr>
        <w:tc>
          <w:tcPr>
            <w:tcW w:type="dxa" w:w="1728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Başvuru sahibi</w:t>
            </w:r>
          </w:p>
        </w:tc>
        <w:tc>
          <w:tcPr>
            <w:tcW w:type="dxa" w:w="3528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Başvuru ve kabul sonrası yolculuk</w:t>
            </w:r>
          </w:p>
        </w:tc>
        <w:tc>
          <w:tcPr>
            <w:tcW w:type="dxa" w:w="4104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Dosyasını tamamlamak ve sonucu izlemek</w:t>
            </w:r>
          </w:p>
        </w:tc>
      </w:tr>
      <w:tr>
        <w:tc>
          <w:tcPr>
            <w:tcW w:type="dxa" w:w="1728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Katılımcı</w:t>
            </w:r>
          </w:p>
        </w:tc>
        <w:tc>
          <w:tcPr>
            <w:tcW w:type="dxa" w:w="3528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Rol, takım, eğitim, program ve simülasyon araçları</w:t>
            </w:r>
          </w:p>
        </w:tc>
        <w:tc>
          <w:tcPr>
            <w:tcW w:type="dxa" w:w="4104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Görevine hazırlanmak ve uygulamak</w:t>
            </w:r>
          </w:p>
        </w:tc>
      </w:tr>
      <w:tr>
        <w:tc>
          <w:tcPr>
            <w:tcW w:type="dxa" w:w="1728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Yönetim kurulu</w:t>
            </w:r>
          </w:p>
        </w:tc>
        <w:tc>
          <w:tcPr>
            <w:tcW w:type="dxa" w:w="3528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Başvuru, görev, EBYS, medya ve operasyon</w:t>
            </w:r>
          </w:p>
        </w:tc>
        <w:tc>
          <w:tcPr>
            <w:tcW w:type="dxa" w:w="4104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Süreci planlamak, onaylamak ve izlemek</w:t>
            </w:r>
          </w:p>
        </w:tc>
      </w:tr>
      <w:tr>
        <w:tc>
          <w:tcPr>
            <w:tcW w:type="dxa" w:w="1728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YK Başkanı</w:t>
            </w:r>
          </w:p>
        </w:tc>
        <w:tc>
          <w:tcPr>
            <w:tcW w:type="dxa" w:w="3528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Kurul görünümü, kritik onaylar ve koordinasyon</w:t>
            </w:r>
          </w:p>
        </w:tc>
        <w:tc>
          <w:tcPr>
            <w:tcW w:type="dxa" w:w="4104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Ortak yönü ve sorumluluk zincirini yönetmek</w:t>
            </w:r>
          </w:p>
        </w:tc>
      </w:tr>
      <w:tr>
        <w:tc>
          <w:tcPr>
            <w:tcW w:type="dxa" w:w="1728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Master Admin</w:t>
            </w:r>
          </w:p>
        </w:tc>
        <w:tc>
          <w:tcPr>
            <w:tcW w:type="dxa" w:w="3528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İçerik, erişim, medya, ayar ve denetim izi</w:t>
            </w:r>
          </w:p>
        </w:tc>
        <w:tc>
          <w:tcPr>
            <w:tcW w:type="dxa" w:w="4104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Sistemin bütünlüğünü korumak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D8EBE5"/>
            <w:tcBorders>
              <w:top w:val="single" w:sz="0" w:space="0" w:color="D8EBE5"/>
              <w:left w:val="single" w:sz="0" w:space="0" w:color="D8EBE5"/>
              <w:bottom w:val="single" w:sz="0" w:space="0" w:color="D8EBE5"/>
              <w:right w:val="single" w:sz="0" w:space="0" w:color="D8EBE5"/>
              <w:insideH w:val="single" w:sz="0" w:space="0" w:color="D8EBE5"/>
              <w:insideV w:val="single" w:sz="0" w:space="0" w:color="D8EBE5"/>
            </w:tcBorders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</w:pPr>
            <w:r>
              <w:rPr>
                <w:b/>
                <w:color w:val="0F766E"/>
                <w:sz w:val="22"/>
              </w:rPr>
              <w:t>Basit erişim kuralı</w:t>
            </w:r>
          </w:p>
          <w:p>
            <w:pPr>
              <w:spacing w:after="0" w:line="276" w:lineRule="auto"/>
            </w:pPr>
            <w:r>
              <w:rPr>
                <w:color w:val="071A24"/>
                <w:sz w:val="20"/>
              </w:rPr>
              <w:t>Butonların varlığı görülebilir; korumalı bir alana girildiğinde sistem kimlik ister. Başarılı oturum dört saat boyunca sürer ve kullanıcı çıkış yapmadıkça yeniden parola sormaz.</w:t>
            </w:r>
          </w:p>
        </w:tc>
      </w:tr>
    </w:tbl>
    <w:p>
      <w:pPr>
        <w:spacing w:after="0"/>
      </w:pPr>
    </w:p>
    <w:p>
      <w:pPr>
        <w:spacing w:after="0"/>
      </w:pPr>
      <w:r>
        <w:br w:type="page"/>
      </w:r>
    </w:p>
    <w:p>
      <w:pPr>
        <w:spacing w:after="80"/>
      </w:pPr>
      <w:r>
        <w:rPr>
          <w:rFonts w:ascii="Calibri" w:hAnsi="Calibri"/>
          <w:b/>
          <w:color w:val="0F766E"/>
          <w:sz w:val="17"/>
        </w:rPr>
        <w:t>KATILIMCI YOLCULUĞU</w:t>
      </w:r>
    </w:p>
    <w:p>
      <w:pPr>
        <w:pStyle w:val="Heading1"/>
        <w:keepNext/>
      </w:pPr>
      <w:r>
        <w:t>Kabul aldığınızda sizi ne bekliyor?</w:t>
      </w:r>
    </w:p>
    <w:p>
      <w:pPr>
        <w:pStyle w:val="Subtitle"/>
        <w:spacing w:after="280"/>
      </w:pPr>
      <w:r>
        <w:t>Sistem merakı korur; fakat sorumluluğu belirsiz bırakmaz.</w:t>
      </w:r>
    </w:p>
    <w:p>
      <w:pPr>
        <w:pStyle w:val="ListNumber"/>
        <w:spacing w:after="80" w:line="300" w:lineRule="auto"/>
        <w:ind w:left="540" w:hanging="271"/>
      </w:pPr>
      <w:r>
        <w:t>Hesabınızı güvenli biçimde açar ve geçici parolanızı değiştirirsiniz.</w:t>
      </w:r>
    </w:p>
    <w:p>
      <w:pPr>
        <w:pStyle w:val="ListNumber"/>
        <w:spacing w:after="80" w:line="300" w:lineRule="auto"/>
        <w:ind w:left="540" w:hanging="271"/>
      </w:pPr>
      <w:r>
        <w:t>Temsil ettiğiniz ülke, kurum veya medya kuruluşu ile rolünüzü görürsünüz.</w:t>
      </w:r>
    </w:p>
    <w:p>
      <w:pPr>
        <w:pStyle w:val="ListNumber"/>
        <w:spacing w:after="80" w:line="300" w:lineRule="auto"/>
        <w:ind w:left="540" w:hanging="271"/>
      </w:pPr>
      <w:r>
        <w:t>Görev tanımınız, takım arkadaşlarınız ve kritik program bilgileri açılır.</w:t>
      </w:r>
    </w:p>
    <w:p>
      <w:pPr>
        <w:pStyle w:val="ListNumber"/>
        <w:spacing w:after="80" w:line="300" w:lineRule="auto"/>
        <w:ind w:left="540" w:hanging="271"/>
      </w:pPr>
      <w:r>
        <w:t>Genel eğitimden rolünüze özel modüllere uzanan Diplomasi Akademisi yolunu tamamlarsınız.</w:t>
      </w:r>
    </w:p>
    <w:p>
      <w:pPr>
        <w:pStyle w:val="ListNumber"/>
        <w:spacing w:after="80" w:line="300" w:lineRule="auto"/>
        <w:ind w:left="540" w:hanging="271"/>
      </w:pPr>
      <w:r>
        <w:t>Takım içi iletişim, görüşme planlama ve belge hazırlama araçlarını kullanırsınız.</w:t>
      </w:r>
    </w:p>
    <w:p>
      <w:pPr>
        <w:pStyle w:val="ListNumber"/>
        <w:spacing w:after="80" w:line="300" w:lineRule="auto"/>
        <w:ind w:left="540" w:hanging="271"/>
      </w:pPr>
      <w:r>
        <w:t>Canlı simülasyonda haberleri, bildirimleri, kararları ve Etki Motoru sonuçlarını izlersiniz.</w:t>
      </w:r>
    </w:p>
    <w:p>
      <w:pPr>
        <w:pStyle w:val="ListNumber"/>
        <w:spacing w:after="80" w:line="300" w:lineRule="auto"/>
        <w:ind w:left="540" w:hanging="271"/>
      </w:pPr>
      <w:r>
        <w:t>Dönem sonunda rapor ve politika çıktıları kurumsal hafızaya aktarılır.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071A24"/>
            <w:tcBorders>
              <w:top w:val="single" w:sz="0" w:space="0" w:color="071A24"/>
              <w:left w:val="single" w:sz="0" w:space="0" w:color="071A24"/>
              <w:bottom w:val="single" w:sz="0" w:space="0" w:color="071A24"/>
              <w:right w:val="single" w:sz="0" w:space="0" w:color="071A24"/>
              <w:insideH w:val="single" w:sz="0" w:space="0" w:color="071A24"/>
              <w:insideV w:val="single" w:sz="0" w:space="0" w:color="071A24"/>
            </w:tcBorders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</w:pPr>
            <w:r>
              <w:rPr>
                <w:b/>
                <w:color w:val="16C7C1"/>
                <w:sz w:val="22"/>
              </w:rPr>
              <w:t>Her rolün deneyimi farklıdır</w:t>
            </w:r>
          </w:p>
          <w:p>
            <w:pPr>
              <w:spacing w:after="0" w:line="276" w:lineRule="auto"/>
            </w:pPr>
            <w:r>
              <w:rPr>
                <w:color w:val="FFFFFF"/>
                <w:sz w:val="20"/>
              </w:rPr>
              <w:t>Dışişleri Bakanı müzakere ve açıklama akışını; Basın Sözcüsü haber bildirimlerini; Özel Kalem Müdürü görüşme takvimini; medya ekibi ise yayın masasını öne çıkarılmış biçimde görür.</w:t>
            </w:r>
          </w:p>
        </w:tc>
      </w:tr>
    </w:tbl>
    <w:p>
      <w:pPr>
        <w:spacing w:after="0"/>
      </w:pPr>
    </w:p>
    <w:p>
      <w:pPr>
        <w:spacing w:after="0"/>
      </w:pPr>
      <w:r>
        <w:br w:type="page"/>
      </w:r>
    </w:p>
    <w:p>
      <w:pPr>
        <w:spacing w:after="80"/>
      </w:pPr>
      <w:r>
        <w:rPr>
          <w:rFonts w:ascii="Calibri" w:hAnsi="Calibri"/>
          <w:b/>
          <w:color w:val="0F766E"/>
          <w:sz w:val="17"/>
        </w:rPr>
        <w:t>CANLI UYGULAMA</w:t>
      </w:r>
    </w:p>
    <w:p>
      <w:pPr>
        <w:pStyle w:val="Heading1"/>
        <w:keepNext/>
      </w:pPr>
      <w:r>
        <w:t>Gerçeğe yaklaşan ortak çalışma alanı</w:t>
      </w:r>
    </w:p>
    <w:p>
      <w:pPr>
        <w:pStyle w:val="Subtitle"/>
        <w:spacing w:after="280"/>
      </w:pPr>
      <w:r>
        <w:t>Heyet, medya ve yönetim aynı olay akışı üzerinde eşzamanlı çalışır.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1944"/>
            <w:shd w:fill="E8EEF5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8"/>
              </w:rPr>
              <w:t>Aktör</w:t>
            </w:r>
          </w:p>
        </w:tc>
        <w:tc>
          <w:tcPr>
            <w:tcW w:type="dxa" w:w="3960"/>
            <w:shd w:fill="E8EEF5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8"/>
              </w:rPr>
              <w:t>Başlıca işler</w:t>
            </w:r>
          </w:p>
        </w:tc>
        <w:tc>
          <w:tcPr>
            <w:tcW w:type="dxa" w:w="3456"/>
            <w:shd w:fill="E8EEF5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8"/>
              </w:rPr>
              <w:t>Bağlandığı modüller</w:t>
            </w:r>
          </w:p>
        </w:tc>
      </w:tr>
      <w:tr>
        <w:tc>
          <w:tcPr>
            <w:tcW w:type="dxa" w:w="1944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Ülke heyetleri</w:t>
            </w:r>
          </w:p>
        </w:tc>
        <w:tc>
          <w:tcPr>
            <w:tcW w:type="dxa" w:w="3960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Karar, müzakere, basın açıklaması, anlaşma</w:t>
            </w:r>
          </w:p>
        </w:tc>
        <w:tc>
          <w:tcPr>
            <w:tcW w:type="dxa" w:w="3456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Panel, görüşme, bildirim, Etki Motoru</w:t>
            </w:r>
          </w:p>
        </w:tc>
      </w:tr>
      <w:tr>
        <w:tc>
          <w:tcPr>
            <w:tcW w:type="dxa" w:w="1944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The Undependent</w:t>
            </w:r>
          </w:p>
        </w:tc>
        <w:tc>
          <w:tcPr>
            <w:tcW w:type="dxa" w:w="3960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Haber, köşe yazısı, saha takibi</w:t>
            </w:r>
          </w:p>
        </w:tc>
        <w:tc>
          <w:tcPr>
            <w:tcW w:type="dxa" w:w="3456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Haber merkezi, canlı yayın, basın bildirimleri</w:t>
            </w:r>
          </w:p>
        </w:tc>
      </w:tr>
      <w:tr>
        <w:tc>
          <w:tcPr>
            <w:tcW w:type="dxa" w:w="1944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Al-Nazeera</w:t>
            </w:r>
          </w:p>
        </w:tc>
        <w:tc>
          <w:tcPr>
            <w:tcW w:type="dxa" w:w="3960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Bölgesel perspektif, röportaj, analiz</w:t>
            </w:r>
          </w:p>
        </w:tc>
        <w:tc>
          <w:tcPr>
            <w:tcW w:type="dxa" w:w="3456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Haber merkezi, canlı yayın, basın bildirimleri</w:t>
            </w:r>
          </w:p>
        </w:tc>
      </w:tr>
      <w:tr>
        <w:tc>
          <w:tcPr>
            <w:tcW w:type="dxa" w:w="1944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The Neutral</w:t>
            </w:r>
          </w:p>
        </w:tc>
        <w:tc>
          <w:tcPr>
            <w:tcW w:type="dxa" w:w="3960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Dengeleyici haber, doğrulama, değerlendirme</w:t>
            </w:r>
          </w:p>
        </w:tc>
        <w:tc>
          <w:tcPr>
            <w:tcW w:type="dxa" w:w="3456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Haber merkezi, canlı yayın, basın bildirimleri</w:t>
            </w:r>
          </w:p>
        </w:tc>
      </w:tr>
      <w:tr>
        <w:tc>
          <w:tcPr>
            <w:tcW w:type="dxa" w:w="1944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Proje yönetimi</w:t>
            </w:r>
          </w:p>
        </w:tc>
        <w:tc>
          <w:tcPr>
            <w:tcW w:type="dxa" w:w="3960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Akış, yetki, müdahale, kayıt ve değerlendirme</w:t>
            </w:r>
          </w:p>
        </w:tc>
        <w:tc>
          <w:tcPr>
            <w:tcW w:type="dxa" w:w="3456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Yönetim, EBYS, haber, Etki Motoru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Bir haber yayımlandığında</w:t>
      </w:r>
    </w:p>
    <w:p>
      <w:pPr>
        <w:pStyle w:val="ListBullet"/>
        <w:spacing w:after="80" w:line="300" w:lineRule="auto"/>
        <w:ind w:left="540" w:hanging="271"/>
      </w:pPr>
      <w:r>
        <w:rPr>
          <w:color w:val="071A24"/>
        </w:rPr>
        <w:t>Haber ilgili ağın profesyonel yayın yüzeyinde görünür.</w:t>
      </w:r>
    </w:p>
    <w:p>
      <w:pPr>
        <w:pStyle w:val="ListBullet"/>
        <w:spacing w:after="80" w:line="300" w:lineRule="auto"/>
        <w:ind w:left="540" w:hanging="271"/>
      </w:pPr>
      <w:r>
        <w:rPr>
          <w:color w:val="071A24"/>
        </w:rPr>
        <w:t>Ülkelerin basın sözcülerine anlık bildirim gider.</w:t>
      </w:r>
    </w:p>
    <w:p>
      <w:pPr>
        <w:pStyle w:val="ListBullet"/>
        <w:spacing w:after="80" w:line="300" w:lineRule="auto"/>
        <w:ind w:left="540" w:hanging="271"/>
      </w:pPr>
      <w:r>
        <w:rPr>
          <w:color w:val="071A24"/>
        </w:rPr>
        <w:t>Yetkili yönetim içerik ve işlem izini denetleyebilir.</w:t>
      </w:r>
    </w:p>
    <w:p>
      <w:pPr>
        <w:pStyle w:val="ListBullet"/>
        <w:spacing w:after="80" w:line="300" w:lineRule="auto"/>
        <w:ind w:left="540" w:hanging="271"/>
      </w:pPr>
      <w:r>
        <w:rPr>
          <w:color w:val="071A24"/>
        </w:rPr>
        <w:t>Haberin ton ve erişimi Etki Motoru değerlendirmesine veri olabilir.</w:t>
      </w:r>
    </w:p>
    <w:p>
      <w:pPr>
        <w:spacing w:after="0"/>
      </w:pPr>
      <w:r>
        <w:br w:type="page"/>
      </w:r>
    </w:p>
    <w:p>
      <w:pPr>
        <w:spacing w:after="80"/>
      </w:pPr>
      <w:r>
        <w:rPr>
          <w:rFonts w:ascii="Calibri" w:hAnsi="Calibri"/>
          <w:b/>
          <w:color w:val="0F766E"/>
          <w:sz w:val="17"/>
        </w:rPr>
        <w:t>STRATEJIK ETKI MOTORU</w:t>
      </w:r>
    </w:p>
    <w:p>
      <w:pPr>
        <w:pStyle w:val="Heading1"/>
        <w:keepNext/>
      </w:pPr>
      <w:r>
        <w:t>Her kararın ölçülebilir bir karşılığı</w:t>
      </w:r>
    </w:p>
    <w:p>
      <w:pPr>
        <w:pStyle w:val="Subtitle"/>
        <w:spacing w:after="280"/>
      </w:pPr>
      <w:r>
        <w:t>Siyasi, askerî, ekonomik, diplomatik ve toplumsal kapasite tek puana indirgenmez; etkileşim içinde ele alınır.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fill="F5F2E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0F766E"/>
                <w:sz w:val="16"/>
              </w:rPr>
              <w:t>A</w:t>
            </w:r>
          </w:p>
          <w:p>
            <w:pPr>
              <w:spacing w:after="80"/>
            </w:pPr>
            <w:r>
              <w:rPr>
                <w:b/>
                <w:color w:val="071A24"/>
                <w:sz w:val="21"/>
              </w:rPr>
              <w:t>Kararı tanımla</w:t>
            </w:r>
          </w:p>
          <w:p>
            <w:pPr>
              <w:spacing w:after="0"/>
            </w:pPr>
            <w:r>
              <w:rPr>
                <w:color w:val="52646D"/>
                <w:sz w:val="17"/>
              </w:rPr>
              <w:t>Ambargo, anlaşma, açıklama, askerî adım, yatırım veya arabuluculuk gibi eylemi seç.</w:t>
            </w:r>
          </w:p>
        </w:tc>
        <w:tc>
          <w:tcPr>
            <w:tcW w:type="dxa" w:w="4680"/>
            <w:shd w:fill="D8EBE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0F766E"/>
                <w:sz w:val="16"/>
              </w:rPr>
              <w:t>B</w:t>
            </w:r>
          </w:p>
          <w:p>
            <w:pPr>
              <w:spacing w:after="80"/>
            </w:pPr>
            <w:r>
              <w:rPr>
                <w:b/>
                <w:color w:val="071A24"/>
                <w:sz w:val="21"/>
              </w:rPr>
              <w:t>Aktörleri belirle</w:t>
            </w:r>
          </w:p>
          <w:p>
            <w:pPr>
              <w:spacing w:after="0"/>
            </w:pPr>
            <w:r>
              <w:rPr>
                <w:color w:val="52646D"/>
                <w:sz w:val="17"/>
              </w:rPr>
              <w:t>Kararı alan, hedef olan ve dolaylı etkilenen aktörleri ilişkilendir.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fill="D8EBE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0F766E"/>
                <w:sz w:val="16"/>
              </w:rPr>
              <w:t>C</w:t>
            </w:r>
          </w:p>
          <w:p>
            <w:pPr>
              <w:spacing w:after="80"/>
            </w:pPr>
            <w:r>
              <w:rPr>
                <w:b/>
                <w:color w:val="071A24"/>
                <w:sz w:val="21"/>
              </w:rPr>
              <w:t>Katsayıları uygula</w:t>
            </w:r>
          </w:p>
          <w:p>
            <w:pPr>
              <w:spacing w:after="0"/>
            </w:pPr>
            <w:r>
              <w:rPr>
                <w:color w:val="52646D"/>
                <w:sz w:val="17"/>
              </w:rPr>
              <w:t>Kapasite, bağımlılık, coğrafya, ittifak ve hassasiyet verilerini birlikte işle.</w:t>
            </w:r>
          </w:p>
        </w:tc>
        <w:tc>
          <w:tcPr>
            <w:tcW w:type="dxa" w:w="4680"/>
            <w:shd w:fill="F5F2E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0F766E"/>
                <w:sz w:val="16"/>
              </w:rPr>
              <w:t>D</w:t>
            </w:r>
          </w:p>
          <w:p>
            <w:pPr>
              <w:spacing w:after="80"/>
            </w:pPr>
            <w:r>
              <w:rPr>
                <w:b/>
                <w:color w:val="071A24"/>
                <w:sz w:val="21"/>
              </w:rPr>
              <w:t>Sonucu gözle</w:t>
            </w:r>
          </w:p>
          <w:p>
            <w:pPr>
              <w:spacing w:after="0"/>
            </w:pPr>
            <w:r>
              <w:rPr>
                <w:color w:val="52646D"/>
                <w:sz w:val="17"/>
              </w:rPr>
              <w:t>Gerilim, güven, ekonomik baskı, diplomatik alan ve kamuoyu etkisini karşılaştır.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Üç aktör modu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2232"/>
            <w:shd w:fill="E8EEF5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8"/>
              </w:rPr>
              <w:t>Mod</w:t>
            </w:r>
          </w:p>
        </w:tc>
        <w:tc>
          <w:tcPr>
            <w:tcW w:type="dxa" w:w="4176"/>
            <w:shd w:fill="E8EEF5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8"/>
              </w:rPr>
              <w:t>Ne zaman kullanılır?</w:t>
            </w:r>
          </w:p>
        </w:tc>
        <w:tc>
          <w:tcPr>
            <w:tcW w:type="dxa" w:w="2952"/>
            <w:shd w:fill="E8EEF5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8"/>
              </w:rPr>
              <w:t>Sonuç</w:t>
            </w:r>
          </w:p>
        </w:tc>
      </w:tr>
      <w:tr>
        <w:tc>
          <w:tcPr>
            <w:tcW w:type="dxa" w:w="2232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Oyunla etkileşim halinde</w:t>
            </w:r>
          </w:p>
        </w:tc>
        <w:tc>
          <w:tcPr>
            <w:tcW w:type="dxa" w:w="4176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Aktör simülasyonda bir takım tarafından temsil ediliyorsa</w:t>
            </w:r>
          </w:p>
        </w:tc>
        <w:tc>
          <w:tcPr>
            <w:tcW w:type="dxa" w:w="2952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Kararlar katılımcı eylemlerinden gelir</w:t>
            </w:r>
          </w:p>
        </w:tc>
      </w:tr>
      <w:tr>
        <w:tc>
          <w:tcPr>
            <w:tcW w:type="dxa" w:w="2232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Oyunla etkileşimi kapalı</w:t>
            </w:r>
          </w:p>
        </w:tc>
        <w:tc>
          <w:tcPr>
            <w:tcW w:type="dxa" w:w="4176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Aktör senaryonun dışında bırakılacaksa</w:t>
            </w:r>
          </w:p>
        </w:tc>
        <w:tc>
          <w:tcPr>
            <w:tcW w:type="dxa" w:w="2952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Motor o aktör için yeni eylem üretmez</w:t>
            </w:r>
          </w:p>
        </w:tc>
      </w:tr>
      <w:tr>
        <w:tc>
          <w:tcPr>
            <w:tcW w:type="dxa" w:w="2232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Yapay zekâ etkileşimi</w:t>
            </w:r>
          </w:p>
        </w:tc>
        <w:tc>
          <w:tcPr>
            <w:tcW w:type="dxa" w:w="4176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Aktör temsil edilmiyor fakat etkisi sürmeli ise</w:t>
            </w:r>
          </w:p>
        </w:tc>
        <w:tc>
          <w:tcPr>
            <w:tcW w:type="dxa" w:w="2952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Kurallar ve veri sınırları içinde sistem tepkisi üretilir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071A24"/>
            <w:tcBorders>
              <w:top w:val="single" w:sz="0" w:space="0" w:color="071A24"/>
              <w:left w:val="single" w:sz="0" w:space="0" w:color="071A24"/>
              <w:bottom w:val="single" w:sz="0" w:space="0" w:color="071A24"/>
              <w:right w:val="single" w:sz="0" w:space="0" w:color="071A24"/>
              <w:insideH w:val="single" w:sz="0" w:space="0" w:color="071A24"/>
              <w:insideV w:val="single" w:sz="0" w:space="0" w:color="071A24"/>
            </w:tcBorders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</w:pPr>
            <w:r>
              <w:rPr>
                <w:b/>
                <w:color w:val="16C7C1"/>
                <w:sz w:val="22"/>
              </w:rPr>
              <w:t>Yönetim denetimi</w:t>
            </w:r>
          </w:p>
          <w:p>
            <w:pPr>
              <w:spacing w:after="0" w:line="276" w:lineRule="auto"/>
            </w:pPr>
            <w:r>
              <w:rPr>
                <w:color w:val="FFFFFF"/>
                <w:sz w:val="20"/>
              </w:rPr>
              <w:t>Motorun tamamı tek anahtarla açılıp kapatılabilir; her aktörün modu ayrıca belirlenir ve yapılandırma sürümlü olarak kaydedilir.</w:t>
            </w:r>
          </w:p>
        </w:tc>
      </w:tr>
    </w:tbl>
    <w:p>
      <w:pPr>
        <w:spacing w:after="0"/>
      </w:pPr>
    </w:p>
    <w:p>
      <w:pPr>
        <w:spacing w:after="0"/>
      </w:pPr>
      <w:r>
        <w:br w:type="page"/>
      </w:r>
    </w:p>
    <w:p>
      <w:pPr>
        <w:spacing w:after="80"/>
      </w:pPr>
      <w:r>
        <w:rPr>
          <w:rFonts w:ascii="Calibri" w:hAnsi="Calibri"/>
          <w:b/>
          <w:color w:val="0F766E"/>
          <w:sz w:val="17"/>
        </w:rPr>
        <w:t>KURUMSAL IŞLETIM</w:t>
      </w:r>
    </w:p>
    <w:p>
      <w:pPr>
        <w:pStyle w:val="Heading1"/>
        <w:keepNext/>
      </w:pPr>
      <w:r>
        <w:t>Yönetim için tek çalışma düzeni</w:t>
      </w:r>
    </w:p>
    <w:p>
      <w:pPr>
        <w:pStyle w:val="Subtitle"/>
        <w:spacing w:after="280"/>
      </w:pPr>
      <w:r>
        <w:t>Başvuru, görev, evrak, haber ve simülasyon koordinasyonu birbirinden kopuk listeler değildir.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2232"/>
            <w:shd w:fill="E8EEF5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8"/>
              </w:rPr>
              <w:t>Çalışma alanı</w:t>
            </w:r>
          </w:p>
        </w:tc>
        <w:tc>
          <w:tcPr>
            <w:tcW w:type="dxa" w:w="4104"/>
            <w:shd w:fill="E8EEF5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8"/>
              </w:rPr>
              <w:t>Yapılan iş</w:t>
            </w:r>
          </w:p>
        </w:tc>
        <w:tc>
          <w:tcPr>
            <w:tcW w:type="dxa" w:w="3024"/>
            <w:shd w:fill="E8EEF5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8"/>
              </w:rPr>
              <w:t>Kayıt ilkesi</w:t>
            </w:r>
          </w:p>
        </w:tc>
      </w:tr>
      <w:tr>
        <w:tc>
          <w:tcPr>
            <w:tcW w:type="dxa" w:w="2232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Başvuru ve hesap</w:t>
            </w:r>
          </w:p>
        </w:tc>
        <w:tc>
          <w:tcPr>
            <w:tcW w:type="dxa" w:w="4104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Değerlendirme, rol/takım atama, hesap paketi</w:t>
            </w:r>
          </w:p>
        </w:tc>
        <w:tc>
          <w:tcPr>
            <w:tcW w:type="dxa" w:w="3024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Kimlik ve atama ile bağlı</w:t>
            </w:r>
          </w:p>
        </w:tc>
      </w:tr>
      <w:tr>
        <w:tc>
          <w:tcPr>
            <w:tcW w:type="dxa" w:w="2232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Görev takip</w:t>
            </w:r>
          </w:p>
        </w:tc>
        <w:tc>
          <w:tcPr>
            <w:tcW w:type="dxa" w:w="4104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Sorumlu, teslim, çıktı, durum ve performans</w:t>
            </w:r>
          </w:p>
        </w:tc>
        <w:tc>
          <w:tcPr>
            <w:tcW w:type="dxa" w:w="3024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D1 üzerinde kalıcı</w:t>
            </w:r>
          </w:p>
        </w:tc>
      </w:tr>
      <w:tr>
        <w:tc>
          <w:tcPr>
            <w:tcW w:type="dxa" w:w="2232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EBYS</w:t>
            </w:r>
          </w:p>
        </w:tc>
        <w:tc>
          <w:tcPr>
            <w:tcW w:type="dxa" w:w="4104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Evrak numarası, gizlilik, görüş, onay ve sürüm</w:t>
            </w:r>
          </w:p>
        </w:tc>
        <w:tc>
          <w:tcPr>
            <w:tcW w:type="dxa" w:w="3024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Yayımlanan sürüm değişmez</w:t>
            </w:r>
          </w:p>
        </w:tc>
      </w:tr>
      <w:tr>
        <w:tc>
          <w:tcPr>
            <w:tcW w:type="dxa" w:w="2232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Haber yönetimi</w:t>
            </w:r>
          </w:p>
        </w:tc>
        <w:tc>
          <w:tcPr>
            <w:tcW w:type="dxa" w:w="4104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Yayın, düzeltme, müdahale ve denetim</w:t>
            </w:r>
          </w:p>
        </w:tc>
        <w:tc>
          <w:tcPr>
            <w:tcW w:type="dxa" w:w="3024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Ağ ve yetkili izi taşır</w:t>
            </w:r>
          </w:p>
        </w:tc>
      </w:tr>
      <w:tr>
        <w:tc>
          <w:tcPr>
            <w:tcW w:type="dxa" w:w="2232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Etki Motoru</w:t>
            </w:r>
          </w:p>
        </w:tc>
        <w:tc>
          <w:tcPr>
            <w:tcW w:type="dxa" w:w="4104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Motor anahtarı, aktör modu ve yapay zekâ politikası</w:t>
            </w:r>
          </w:p>
        </w:tc>
        <w:tc>
          <w:tcPr>
            <w:tcW w:type="dxa" w:w="3024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Sürümlü yapılandırma</w:t>
            </w:r>
          </w:p>
        </w:tc>
      </w:tr>
      <w:tr>
        <w:tc>
          <w:tcPr>
            <w:tcW w:type="dxa" w:w="2232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Master Admin</w:t>
            </w:r>
          </w:p>
        </w:tc>
        <w:tc>
          <w:tcPr>
            <w:tcW w:type="dxa" w:w="4104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İçerik, erişim, medya ve denetim kaydı</w:t>
            </w:r>
          </w:p>
        </w:tc>
        <w:tc>
          <w:tcPr>
            <w:tcW w:type="dxa" w:w="3024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Ayrı en yüksek yetki sınırı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D8EBE5"/>
            <w:tcBorders>
              <w:top w:val="single" w:sz="0" w:space="0" w:color="D8EBE5"/>
              <w:left w:val="single" w:sz="0" w:space="0" w:color="D8EBE5"/>
              <w:bottom w:val="single" w:sz="0" w:space="0" w:color="D8EBE5"/>
              <w:right w:val="single" w:sz="0" w:space="0" w:color="D8EBE5"/>
              <w:insideH w:val="single" w:sz="0" w:space="0" w:color="D8EBE5"/>
              <w:insideV w:val="single" w:sz="0" w:space="0" w:color="D8EBE5"/>
            </w:tcBorders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</w:pPr>
            <w:r>
              <w:rPr>
                <w:b/>
                <w:color w:val="0F766E"/>
                <w:sz w:val="22"/>
              </w:rPr>
              <w:t>Kalıcı operasyon</w:t>
            </w:r>
          </w:p>
          <w:p>
            <w:pPr>
              <w:spacing w:after="0" w:line="276" w:lineRule="auto"/>
            </w:pPr>
            <w:r>
              <w:rPr>
                <w:color w:val="071A24"/>
                <w:sz w:val="20"/>
              </w:rPr>
              <w:t>Yönetim görevleri, oluşturulan hesaplar ve EBYS kayıtları artık yalnızca aynı tarayıcıda duran geçici veriler değildir; D1 kayıt katmanına bağlanır. Yerel önizlemede güvenli demo saklama devreye girer.</w:t>
            </w:r>
          </w:p>
        </w:tc>
      </w:tr>
    </w:tbl>
    <w:p>
      <w:pPr>
        <w:spacing w:after="0"/>
      </w:pPr>
    </w:p>
    <w:p>
      <w:pPr>
        <w:spacing w:after="0"/>
      </w:pPr>
      <w:r>
        <w:br w:type="page"/>
      </w:r>
    </w:p>
    <w:p>
      <w:pPr>
        <w:spacing w:after="80"/>
      </w:pPr>
      <w:r>
        <w:rPr>
          <w:rFonts w:ascii="Calibri" w:hAnsi="Calibri"/>
          <w:b/>
          <w:color w:val="0F766E"/>
          <w:sz w:val="17"/>
        </w:rPr>
        <w:t>GÜVENLIK VE SÜREKLILIK</w:t>
      </w:r>
    </w:p>
    <w:p>
      <w:pPr>
        <w:pStyle w:val="Heading1"/>
        <w:keepNext/>
      </w:pPr>
      <w:r>
        <w:t>Yetki kadar anlaşılır, kayıt kadar güvenilir</w:t>
      </w:r>
    </w:p>
    <w:p>
      <w:pPr>
        <w:pStyle w:val="Subtitle"/>
        <w:spacing w:after="280"/>
      </w:pPr>
      <w:r>
        <w:t>Sistem; görünürlüğü, işlemi ve saklamayı ayrı güvenlik katmanları olarak ele alır.</w:t>
      </w:r>
    </w:p>
    <w:p>
      <w:pPr>
        <w:pStyle w:val="Heading1"/>
        <w:keepNext/>
      </w:pPr>
      <w:r>
        <w:t>Kimlik ve yetki</w:t>
      </w:r>
    </w:p>
    <w:p>
      <w:pPr>
        <w:pStyle w:val="ListBullet"/>
        <w:spacing w:after="80" w:line="300" w:lineRule="auto"/>
        <w:ind w:left="540" w:hanging="271"/>
      </w:pPr>
      <w:r>
        <w:rPr>
          <w:color w:val="071A24"/>
        </w:rPr>
        <w:t>Katılımcı, yönetim ve master admin oturumları farklı yetki sınırlarında çalışır.</w:t>
      </w:r>
    </w:p>
    <w:p>
      <w:pPr>
        <w:pStyle w:val="ListBullet"/>
        <w:spacing w:after="80" w:line="300" w:lineRule="auto"/>
        <w:ind w:left="540" w:hanging="271"/>
      </w:pPr>
      <w:r>
        <w:rPr>
          <w:color w:val="071A24"/>
        </w:rPr>
        <w:t>Doğrudan sayfa adresleri de aynı erişim kontrolünden geçer.</w:t>
      </w:r>
    </w:p>
    <w:p>
      <w:pPr>
        <w:pStyle w:val="ListBullet"/>
        <w:spacing w:after="80" w:line="300" w:lineRule="auto"/>
        <w:ind w:left="540" w:hanging="271"/>
      </w:pPr>
      <w:r>
        <w:rPr>
          <w:color w:val="071A24"/>
        </w:rPr>
        <w:t>Parolalar düz metin olarak saklanmaz; kritik işlemler denetim izi üretir.</w:t>
      </w:r>
    </w:p>
    <w:p>
      <w:pPr>
        <w:pStyle w:val="Heading1"/>
        <w:keepNext/>
      </w:pPr>
      <w:r>
        <w:t>Veri ve dosya</w:t>
      </w:r>
    </w:p>
    <w:p>
      <w:pPr>
        <w:pStyle w:val="ListBullet"/>
        <w:spacing w:after="80" w:line="300" w:lineRule="auto"/>
        <w:ind w:left="540" w:hanging="271"/>
      </w:pPr>
      <w:r>
        <w:rPr>
          <w:color w:val="071A24"/>
        </w:rPr>
        <w:t>İlişkisel kayıtlar D1 üzerinde, dosya ve medya R2 üzerinde tutulur.</w:t>
      </w:r>
    </w:p>
    <w:p>
      <w:pPr>
        <w:pStyle w:val="ListBullet"/>
        <w:spacing w:after="80" w:line="300" w:lineRule="auto"/>
        <w:ind w:left="540" w:hanging="271"/>
      </w:pPr>
      <w:r>
        <w:rPr>
          <w:color w:val="071A24"/>
        </w:rPr>
        <w:t>Belge sürümleri ve mevzuat yayınları değişmez kayıt mantığıyla korunur.</w:t>
      </w:r>
    </w:p>
    <w:p>
      <w:pPr>
        <w:pStyle w:val="ListBullet"/>
        <w:spacing w:after="80" w:line="300" w:lineRule="auto"/>
        <w:ind w:left="540" w:hanging="271"/>
      </w:pPr>
      <w:r>
        <w:rPr>
          <w:color w:val="071A24"/>
        </w:rPr>
        <w:t>Sistem durumu gerçek bağlamalardan okunur; hazır olmayan servis hazırmış gibi gösterilmez.</w:t>
      </w:r>
    </w:p>
    <w:p>
      <w:pPr>
        <w:pStyle w:val="Heading1"/>
        <w:keepNext/>
      </w:pPr>
      <w:r>
        <w:t>Süreklilik</w:t>
      </w:r>
    </w:p>
    <w:p>
      <w:pPr>
        <w:pStyle w:val="ListBullet"/>
        <w:spacing w:after="80" w:line="300" w:lineRule="auto"/>
        <w:ind w:left="540" w:hanging="271"/>
      </w:pPr>
      <w:r>
        <w:rPr>
          <w:color w:val="071A24"/>
        </w:rPr>
        <w:t>Yeni sürümler migration ile ilerler; önceki kayıt yapısı korunur.</w:t>
      </w:r>
    </w:p>
    <w:p>
      <w:pPr>
        <w:pStyle w:val="ListBullet"/>
        <w:spacing w:after="80" w:line="300" w:lineRule="auto"/>
        <w:ind w:left="540" w:hanging="271"/>
      </w:pPr>
      <w:r>
        <w:rPr>
          <w:color w:val="071A24"/>
        </w:rPr>
        <w:t>Dönem sonu çıktıları arşive ve tarihçeye düzenli biçimde aktarılır.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071A24"/>
            <w:tcBorders>
              <w:top w:val="single" w:sz="0" w:space="0" w:color="071A24"/>
              <w:left w:val="single" w:sz="0" w:space="0" w:color="071A24"/>
              <w:bottom w:val="single" w:sz="0" w:space="0" w:color="071A24"/>
              <w:right w:val="single" w:sz="0" w:space="0" w:color="071A24"/>
              <w:insideH w:val="single" w:sz="0" w:space="0" w:color="071A24"/>
              <w:insideV w:val="single" w:sz="0" w:space="0" w:color="071A24"/>
            </w:tcBorders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</w:pPr>
            <w:r>
              <w:rPr>
                <w:b/>
                <w:color w:val="16C7C1"/>
                <w:sz w:val="22"/>
              </w:rPr>
              <w:t>Kurumsal güven</w:t>
            </w:r>
          </w:p>
          <w:p>
            <w:pPr>
              <w:spacing w:after="0" w:line="276" w:lineRule="auto"/>
            </w:pPr>
            <w:r>
              <w:rPr>
                <w:color w:val="FFFFFF"/>
                <w:sz w:val="20"/>
              </w:rPr>
              <w:t>Profesyonellik yalnızca ekranda düzen demek değildir; kimin neyi gördüğünün, kimin neyi değiştirdiğinin ve hangi sürümün geçerli olduğunun açık olmasıdır.</w:t>
            </w:r>
          </w:p>
        </w:tc>
      </w:tr>
    </w:tbl>
    <w:p>
      <w:pPr>
        <w:spacing w:after="0"/>
      </w:pPr>
    </w:p>
    <w:p>
      <w:pPr>
        <w:spacing w:after="0"/>
      </w:pPr>
      <w:r>
        <w:br w:type="page"/>
      </w:r>
    </w:p>
    <w:p>
      <w:pPr>
        <w:spacing w:after="80"/>
      </w:pPr>
      <w:r>
        <w:rPr>
          <w:rFonts w:ascii="Calibri" w:hAnsi="Calibri"/>
          <w:b/>
          <w:color w:val="0F766E"/>
          <w:sz w:val="17"/>
        </w:rPr>
        <w:t>PRATIK BAŞLANGIÇ</w:t>
      </w:r>
    </w:p>
    <w:p>
      <w:pPr>
        <w:pStyle w:val="Heading1"/>
        <w:keepNext/>
      </w:pPr>
      <w:r>
        <w:t>Sisteme nereden girmeliyim?</w:t>
      </w:r>
    </w:p>
    <w:p>
      <w:pPr>
        <w:pStyle w:val="Subtitle"/>
        <w:spacing w:after="280"/>
      </w:pPr>
      <w:r>
        <w:t>İhtiyacınıza göre en kısa yol.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2520"/>
            <w:shd w:fill="E8EEF5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8"/>
              </w:rPr>
              <w:t>İhtiyaç</w:t>
            </w:r>
          </w:p>
        </w:tc>
        <w:tc>
          <w:tcPr>
            <w:tcW w:type="dxa" w:w="2376"/>
            <w:shd w:fill="E8EEF5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8"/>
              </w:rPr>
              <w:t>Başlangıç sayfası</w:t>
            </w:r>
          </w:p>
        </w:tc>
        <w:tc>
          <w:tcPr>
            <w:tcW w:type="dxa" w:w="4464"/>
            <w:shd w:fill="E8EEF5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8"/>
              </w:rPr>
              <w:t>Ne bulursunuz?</w:t>
            </w:r>
          </w:p>
        </w:tc>
      </w:tr>
      <w:tr>
        <w:tc>
          <w:tcPr>
            <w:tcW w:type="dxa" w:w="2520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Projeyi tanımak</w:t>
            </w:r>
          </w:p>
        </w:tc>
        <w:tc>
          <w:tcPr>
            <w:tcW w:type="dxa" w:w="2376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/sistem</w:t>
            </w:r>
          </w:p>
        </w:tc>
        <w:tc>
          <w:tcPr>
            <w:tcW w:type="dxa" w:w="4464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Altı aşamalı sistem haritası</w:t>
            </w:r>
          </w:p>
        </w:tc>
      </w:tr>
      <w:tr>
        <w:tc>
          <w:tcPr>
            <w:tcW w:type="dxa" w:w="2520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Tarihçeyi incelemek</w:t>
            </w:r>
          </w:p>
        </w:tc>
        <w:tc>
          <w:tcPr>
            <w:tcW w:type="dxa" w:w="2376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/tarihce</w:t>
            </w:r>
          </w:p>
        </w:tc>
        <w:tc>
          <w:tcPr>
            <w:tcW w:type="dxa" w:w="4464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Yedi bölüm, afişler, fotoğraflar ve belgeler</w:t>
            </w:r>
          </w:p>
        </w:tc>
      </w:tr>
      <w:tr>
        <w:tc>
          <w:tcPr>
            <w:tcW w:type="dxa" w:w="2520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Başvuruya hazırlanmak</w:t>
            </w:r>
          </w:p>
        </w:tc>
        <w:tc>
          <w:tcPr>
            <w:tcW w:type="dxa" w:w="2376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/kabulden-sonra</w:t>
            </w:r>
          </w:p>
        </w:tc>
        <w:tc>
          <w:tcPr>
            <w:tcW w:type="dxa" w:w="4464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Kabul sonrası merak ve hazırlık akışı</w:t>
            </w:r>
          </w:p>
        </w:tc>
      </w:tr>
      <w:tr>
        <w:tc>
          <w:tcPr>
            <w:tcW w:type="dxa" w:w="2520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Rolü deneyimlemek</w:t>
            </w:r>
          </w:p>
        </w:tc>
        <w:tc>
          <w:tcPr>
            <w:tcW w:type="dxa" w:w="2376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/deneyim-merkezi</w:t>
            </w:r>
          </w:p>
        </w:tc>
        <w:tc>
          <w:tcPr>
            <w:tcW w:type="dxa" w:w="4464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Kararlarla ilerleyen rol senaryoları</w:t>
            </w:r>
          </w:p>
        </w:tc>
      </w:tr>
      <w:tr>
        <w:tc>
          <w:tcPr>
            <w:tcW w:type="dxa" w:w="2520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Katılımcı olarak çalışmak</w:t>
            </w:r>
          </w:p>
        </w:tc>
        <w:tc>
          <w:tcPr>
            <w:tcW w:type="dxa" w:w="2376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/giris</w:t>
            </w:r>
          </w:p>
        </w:tc>
        <w:tc>
          <w:tcPr>
            <w:tcW w:type="dxa" w:w="4464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Rolünüze yönlenen güvenli giriş</w:t>
            </w:r>
          </w:p>
        </w:tc>
      </w:tr>
      <w:tr>
        <w:tc>
          <w:tcPr>
            <w:tcW w:type="dxa" w:w="2520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Simülasyona geçmek</w:t>
            </w:r>
          </w:p>
        </w:tc>
        <w:tc>
          <w:tcPr>
            <w:tcW w:type="dxa" w:w="2376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/simulasyon</w:t>
            </w:r>
          </w:p>
        </w:tc>
        <w:tc>
          <w:tcPr>
            <w:tcW w:type="dxa" w:w="4464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Kimlik, rol ve servis doğrulamalı geçit</w:t>
            </w:r>
          </w:p>
        </w:tc>
      </w:tr>
      <w:tr>
        <w:tc>
          <w:tcPr>
            <w:tcW w:type="dxa" w:w="2520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Yönetim yapmak</w:t>
            </w:r>
          </w:p>
        </w:tc>
        <w:tc>
          <w:tcPr>
            <w:tcW w:type="dxa" w:w="2376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/giris</w:t>
            </w:r>
          </w:p>
        </w:tc>
        <w:tc>
          <w:tcPr>
            <w:tcW w:type="dxa" w:w="4464"/>
            <w:shd w:fill="FFFFFF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Yetkiye göre yönetim çalışma alanları</w:t>
            </w:r>
          </w:p>
        </w:tc>
      </w:tr>
      <w:tr>
        <w:tc>
          <w:tcPr>
            <w:tcW w:type="dxa" w:w="2520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71A24"/>
                <w:sz w:val="17"/>
              </w:rPr>
              <w:t>Sistem sahibi olarak yönetmek</w:t>
            </w:r>
          </w:p>
        </w:tc>
        <w:tc>
          <w:tcPr>
            <w:tcW w:type="dxa" w:w="2376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/master-admin/giris</w:t>
            </w:r>
          </w:p>
        </w:tc>
        <w:tc>
          <w:tcPr>
            <w:tcW w:type="dxa" w:w="4464"/>
            <w:shd w:fill="F8FAFA"/>
            <w:tcBorders>
              <w:top w:val="single" w:sz="5" w:space="0" w:color="D7DEE1"/>
              <w:left w:val="single" w:sz="5" w:space="0" w:color="D7DEE1"/>
              <w:bottom w:val="single" w:sz="5" w:space="0" w:color="D7DEE1"/>
              <w:right w:val="single" w:sz="5" w:space="0" w:color="D7DEE1"/>
              <w:insideH w:val="single" w:sz="5" w:space="0" w:color="D7DEE1"/>
              <w:insideV w:val="single" w:sz="5" w:space="0" w:color="D7DEE1"/>
            </w:tcBorders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52646D"/>
                <w:sz w:val="17"/>
              </w:rPr>
              <w:t>İçerik, medya, ayar ve denetim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071A24"/>
            <w:tcBorders>
              <w:top w:val="single" w:sz="0" w:space="0" w:color="071A24"/>
              <w:left w:val="single" w:sz="0" w:space="0" w:color="071A24"/>
              <w:bottom w:val="single" w:sz="0" w:space="0" w:color="071A24"/>
              <w:right w:val="single" w:sz="0" w:space="0" w:color="071A24"/>
              <w:insideH w:val="single" w:sz="0" w:space="0" w:color="071A24"/>
              <w:insideV w:val="single" w:sz="0" w:space="0" w:color="071A24"/>
            </w:tcBorders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</w:pPr>
            <w:r>
              <w:rPr>
                <w:b/>
                <w:color w:val="16C7C1"/>
                <w:sz w:val="22"/>
              </w:rPr>
              <w:t>Web adresi</w:t>
            </w:r>
          </w:p>
          <w:p>
            <w:pPr>
              <w:spacing w:after="0" w:line="276" w:lineRule="auto"/>
            </w:pPr>
            <w:r>
              <w:rPr>
                <w:color w:val="FFFFFF"/>
                <w:sz w:val="20"/>
              </w:rPr>
              <w:t>diplomasi-simulasyonu.mehmet-akkus.chatgpt.site</w:t>
            </w:r>
          </w:p>
        </w:tc>
      </w:tr>
    </w:tbl>
    <w:p>
      <w:pPr>
        <w:spacing w:after="0"/>
      </w:pPr>
    </w:p>
    <w:p>
      <w:pPr>
        <w:spacing w:after="0"/>
      </w:pPr>
      <w:r>
        <w:br w:type="page"/>
      </w:r>
    </w:p>
    <w:p>
      <w:pPr>
        <w:spacing w:after="80"/>
      </w:pPr>
      <w:r>
        <w:rPr>
          <w:rFonts w:ascii="Calibri" w:hAnsi="Calibri"/>
          <w:b/>
          <w:color w:val="0F766E"/>
          <w:sz w:val="17"/>
        </w:rPr>
        <w:t>SON SÖZ</w:t>
      </w:r>
    </w:p>
    <w:p>
      <w:pPr>
        <w:pStyle w:val="Heading1"/>
        <w:keepNext/>
      </w:pPr>
      <w:r>
        <w:t>Hafızası olan bir simülasyon, gelişmeye devam eder.</w:t>
      </w:r>
    </w:p>
    <w:p>
      <w:pPr>
        <w:pStyle w:val="Subtitle"/>
        <w:spacing w:after="280"/>
      </w:pPr>
      <w:r>
        <w:t>Bütünleşik sistem; geçmişi saklamak, bugünü yönetmek ve bir sonraki dönemi daha güçlü başlatmak için tasarlandı.</w:t>
      </w:r>
    </w:p>
    <w:p>
      <w:pPr>
        <w:spacing w:before="360" w:after="360"/>
        <w:jc w:val="center"/>
      </w:pPr>
      <w:r>
        <w:drawing>
          <wp:inline xmlns:a="http://schemas.openxmlformats.org/drawingml/2006/main" xmlns:pic="http://schemas.openxmlformats.org/drawingml/2006/picture">
            <wp:extent cx="4846320" cy="1762944"/>
            <wp:docPr id="2" name="Picture 2" title="Diplomasi Zirvesi logotipi" descr="Türkçe ve İngilizce Diplomasi Zirvesi kurumsal logotip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plomasi-zirvesi-lockup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1762944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071A24"/>
            <w:tcBorders>
              <w:top w:val="single" w:sz="0" w:space="0" w:color="071A24"/>
              <w:left w:val="single" w:sz="0" w:space="0" w:color="071A24"/>
              <w:bottom w:val="single" w:sz="0" w:space="0" w:color="071A24"/>
              <w:right w:val="single" w:sz="0" w:space="0" w:color="071A24"/>
              <w:insideH w:val="single" w:sz="0" w:space="0" w:color="071A24"/>
              <w:insideV w:val="single" w:sz="0" w:space="0" w:color="071A24"/>
            </w:tcBorders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</w:pPr>
            <w:r>
              <w:rPr>
                <w:b/>
                <w:color w:val="16C7C1"/>
                <w:sz w:val="22"/>
              </w:rPr>
              <w:t>Tek kimlik · Tek süreç · Tek kurumsal hafıza</w:t>
            </w:r>
          </w:p>
          <w:p>
            <w:pPr>
              <w:spacing w:after="0" w:line="276" w:lineRule="auto"/>
            </w:pPr>
            <w:r>
              <w:rPr>
                <w:color w:val="FFFFFF"/>
                <w:sz w:val="20"/>
              </w:rPr>
              <w:t>Katılımcı için anlaşılır, yönetim için izlenebilir, kurum için sürdürülebilir.</w:t>
            </w:r>
          </w:p>
        </w:tc>
      </w:tr>
    </w:tbl>
    <w:p>
      <w:pPr>
        <w:spacing w:after="0"/>
      </w:pPr>
    </w:p>
    <w:p>
      <w:pPr>
        <w:spacing w:before="400" w:after="100"/>
        <w:jc w:val="center"/>
      </w:pPr>
      <w:r>
        <w:rPr>
          <w:b/>
          <w:color w:val="071A24"/>
          <w:sz w:val="26"/>
        </w:rPr>
        <w:t>Sistemi inceleyin</w:t>
      </w:r>
    </w:p>
    <w:p>
      <w:pPr>
        <w:jc w:val="center"/>
      </w:pPr>
      <w:hyperlink r:id="rId14">
        <w:r>
          <w:rPr>
            <w:color w:val="0F766E"/>
            <w:u w:val="single"/>
          </w:rPr>
          <w:t>diplomasi-simulasyonu.mehmet-akkus.chatgpt.site/sistem</w:t>
        </w:r>
      </w:hyperlink>
    </w:p>
    <w:sectPr w:rsidR="00FC693F" w:rsidRPr="0006063C" w:rsidSect="00034616">
      <w:headerReference w:type="default" r:id="rId9"/>
      <w:footerReference w:type="default" r:id="rId10"/>
      <w:footerReference w:type="first" r:id="rId11"/>
      <w:pgSz w:w="12240" w:h="15840"/>
      <w:pgMar w:top="1181" w:right="1440" w:bottom="1037" w:left="1440" w:header="504" w:footer="50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360"/>
      <w:jc w:val="center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</w:tcPr>
        <w:p>
          <w:pPr>
            <w:spacing w:after="0"/>
          </w:pPr>
          <w:r>
            <w:rPr>
              <w:color w:val="52646D"/>
              <w:sz w:val="15"/>
            </w:rPr>
            <w:t>diplomasi-simulasyonu.mehmet-akkus.chatgpt.site</w:t>
          </w:r>
        </w:p>
      </w:tc>
      <w:tc>
        <w:tcPr>
          <w:tcW w:type="dxa" w:w="4680"/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</w:tcPr>
        <w:p>
          <w:pPr>
            <w:spacing w:after="0"/>
            <w:jc w:val="right"/>
          </w:pPr>
          <w:r>
            <w:rPr>
              <w:color w:val="52646D"/>
              <w:sz w:val="15"/>
            </w:rPr>
            <w:t xml:space="preserve">2026  ·  </w:t>
          </w:r>
          <w:r>
            <w:fldChar w:fldCharType="begin"/>
            <w:instrText xml:space="preserve">PAGE</w:instrText>
            <w:fldChar w:fldCharType="end"/>
          </w:r>
          <w:r>
            <w:t xml:space="preserve"> / </w:t>
          </w:r>
          <w:r>
            <w:fldChar w:fldCharType="begin"/>
            <w:instrText xml:space="preserve">NUMPAGES</w:instrText>
            <w:fldChar w:fldCharType="end"/>
          </w:r>
        </w:p>
      </w:tc>
    </w:tr>
  </w:tbl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52646D"/>
        <w:sz w:val="15"/>
      </w:rPr>
      <w:t>KURUMSAL TANITIM KİTAPÇIĞI  ·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b/>
        <w:color w:val="0F766E"/>
        <w:sz w:val="15"/>
      </w:rPr>
      <w:t>DİPLOMASİ SİMÜLASYONU  ·  BÜTÜNLEŞİK SİSTEM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071A24"/>
      <w:sz w:val="21"/>
      <w:lang w:val="tr-TR" w:eastAsia="tr-T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71A24"/>
      <w:sz w:val="44"/>
      <w:szCs w:val="28"/>
      <w:lang w:val="tr-TR" w:eastAsia="tr-T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F766E"/>
      <w:sz w:val="26"/>
      <w:szCs w:val="26"/>
      <w:lang w:val="tr-TR" w:eastAsia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2358C"/>
      <w:sz w:val="22"/>
      <w:lang w:val="tr-TR" w:eastAsia="tr-T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tr-TR" w:eastAsia="tr-T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Calibri" w:hAnsi="Calibri"/>
      <w:i/>
      <w:iCs/>
      <w:color w:val="52646D"/>
      <w:spacing w:val="15"/>
      <w:sz w:val="22"/>
      <w:szCs w:val="24"/>
      <w:lang w:val="tr-TR" w:eastAsia="tr-T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hyperlink" Target="https://diplomasi-simulasyonu.mehmet-akkus.chatgpt.site/s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Diplomasi Simülasyonu — Bütünleşik Sistem Tanıtım Kitapçığı</dc:title>
  <dc:subject>Diplomasi Simülasyonu platformunun sade ve bütüncül tanıtımı</dc:subject>
  <dc:creator>Diplomasi Simülasyonu</dc:creator>
  <cp:keywords>Diplomasi Simülasyonu, sistem, başvuru, eğitim, müzakere, Etki Motoru</cp:keywords>
  <dc:description>Kamuya açık kurumsal tanıtım dokümanı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